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FB0A" w14:textId="77777777" w:rsidR="00FD1ABE" w:rsidRDefault="008B5D7D" w:rsidP="006B15D5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4B439B">
        <w:rPr>
          <w:rFonts w:ascii="Georgia" w:hAnsi="Georgia"/>
          <w:b/>
          <w:sz w:val="32"/>
          <w:szCs w:val="32"/>
        </w:rPr>
        <w:t>INTEGRATING FAMILY SERVICES</w:t>
      </w:r>
    </w:p>
    <w:p w14:paraId="667786BF" w14:textId="77777777" w:rsidR="00F04F32" w:rsidRPr="008E15C2" w:rsidRDefault="00F04F32" w:rsidP="008E15C2">
      <w:pPr>
        <w:tabs>
          <w:tab w:val="left" w:pos="630"/>
        </w:tabs>
        <w:spacing w:after="0"/>
        <w:rPr>
          <w:rFonts w:ascii="Georgia" w:hAnsi="Georgia"/>
          <w:b/>
        </w:rPr>
      </w:pPr>
    </w:p>
    <w:p w14:paraId="12793E9B" w14:textId="439F753F" w:rsidR="006B15D5" w:rsidRPr="00A65BDB" w:rsidRDefault="00FD1ABE" w:rsidP="008E15C2">
      <w:pPr>
        <w:pStyle w:val="ListParagraph"/>
        <w:numPr>
          <w:ilvl w:val="0"/>
          <w:numId w:val="9"/>
        </w:numPr>
        <w:tabs>
          <w:tab w:val="left" w:pos="630"/>
        </w:tabs>
        <w:spacing w:after="120"/>
        <w:ind w:hanging="1170"/>
        <w:rPr>
          <w:rFonts w:ascii="Georgia" w:hAnsi="Georgia"/>
          <w:b/>
          <w:sz w:val="32"/>
          <w:szCs w:val="32"/>
        </w:rPr>
      </w:pPr>
      <w:r w:rsidRPr="00A65BDB">
        <w:rPr>
          <w:rFonts w:ascii="Georgia" w:hAnsi="Georgia"/>
          <w:b/>
          <w:sz w:val="32"/>
          <w:szCs w:val="32"/>
        </w:rPr>
        <w:t>Population</w:t>
      </w:r>
      <w:r w:rsidR="008B5D7D">
        <w:rPr>
          <w:rFonts w:ascii="Georgia" w:hAnsi="Georgia"/>
          <w:b/>
          <w:sz w:val="32"/>
          <w:szCs w:val="32"/>
        </w:rPr>
        <w:t>-</w:t>
      </w:r>
      <w:r w:rsidRPr="00A65BDB">
        <w:rPr>
          <w:rFonts w:ascii="Georgia" w:hAnsi="Georgia"/>
          <w:b/>
          <w:sz w:val="32"/>
          <w:szCs w:val="32"/>
        </w:rPr>
        <w:t xml:space="preserve">Level </w:t>
      </w:r>
      <w:r w:rsidR="00454B74" w:rsidRPr="00A65BDB">
        <w:rPr>
          <w:rFonts w:ascii="Georgia" w:hAnsi="Georgia"/>
          <w:b/>
          <w:sz w:val="32"/>
          <w:szCs w:val="32"/>
        </w:rPr>
        <w:t>Outcomes</w:t>
      </w:r>
      <w:r w:rsidRPr="00A65BDB">
        <w:rPr>
          <w:rFonts w:ascii="Georgia" w:hAnsi="Georgia"/>
          <w:b/>
          <w:sz w:val="32"/>
          <w:szCs w:val="32"/>
        </w:rPr>
        <w:t xml:space="preserve"> and Indicators</w:t>
      </w:r>
    </w:p>
    <w:p w14:paraId="50638564" w14:textId="77777777" w:rsidR="006B15D5" w:rsidRPr="00BE231B" w:rsidRDefault="006B15D5" w:rsidP="006B15D5">
      <w:pPr>
        <w:pStyle w:val="ListParagraph"/>
        <w:numPr>
          <w:ilvl w:val="0"/>
          <w:numId w:val="2"/>
        </w:numPr>
        <w:spacing w:after="0"/>
      </w:pPr>
      <w:r w:rsidRPr="00BE231B">
        <w:t>Vermont statute Act 186 (2014) establishes outcomes and indicators that are intended to align programs and strategies across the stat</w:t>
      </w:r>
      <w:r>
        <w:t>e toward the same ends</w:t>
      </w:r>
      <w:r w:rsidRPr="00BE231B">
        <w:t xml:space="preserve">. </w:t>
      </w:r>
    </w:p>
    <w:p w14:paraId="1501394E" w14:textId="2580167E" w:rsidR="006B15D5" w:rsidRPr="00BE231B" w:rsidRDefault="006B15D5" w:rsidP="006B15D5">
      <w:pPr>
        <w:pStyle w:val="ListParagraph"/>
        <w:numPr>
          <w:ilvl w:val="0"/>
          <w:numId w:val="2"/>
        </w:numPr>
        <w:spacing w:after="0"/>
      </w:pPr>
      <w:r>
        <w:t xml:space="preserve">Population </w:t>
      </w:r>
      <w:r w:rsidR="008B5D7D">
        <w:t>i</w:t>
      </w:r>
      <w:r w:rsidRPr="00BE231B">
        <w:t xml:space="preserve">ndicators </w:t>
      </w:r>
      <w:r>
        <w:t xml:space="preserve">will be available to IFS regions through an AHS Scorecard. This information will be used by IFS Regional </w:t>
      </w:r>
      <w:r w:rsidR="008B5D7D">
        <w:t xml:space="preserve">Core </w:t>
      </w:r>
      <w:r>
        <w:t>Teams to inform how they target supports and services</w:t>
      </w:r>
      <w:r w:rsidR="008B5D7D">
        <w:t xml:space="preserve"> to best meet the needs of children, youth and families in their communities</w:t>
      </w:r>
    </w:p>
    <w:p w14:paraId="6B000EFE" w14:textId="348D43DC" w:rsidR="006B15D5" w:rsidRDefault="008B5D7D" w:rsidP="006B15D5">
      <w:pPr>
        <w:pStyle w:val="ListParagraph"/>
        <w:numPr>
          <w:ilvl w:val="0"/>
          <w:numId w:val="2"/>
        </w:numPr>
        <w:spacing w:after="0"/>
      </w:pPr>
      <w:r w:rsidRPr="00BE231B">
        <w:t>An entire community</w:t>
      </w:r>
      <w:r>
        <w:t>, not just IFS grantees,</w:t>
      </w:r>
      <w:r w:rsidRPr="00BE231B">
        <w:t xml:space="preserve"> is responsible for </w:t>
      </w:r>
      <w:r>
        <w:t xml:space="preserve">the IFS </w:t>
      </w:r>
      <w:r w:rsidRPr="00BE231B">
        <w:t>population</w:t>
      </w:r>
      <w:r>
        <w:t>-</w:t>
      </w:r>
      <w:r w:rsidRPr="00BE231B">
        <w:t>level indicators</w:t>
      </w:r>
      <w:r>
        <w:t xml:space="preserve">, </w:t>
      </w:r>
      <w:r w:rsidR="006B15D5" w:rsidRPr="00BE231B">
        <w:t>bending the curve on population indicators</w:t>
      </w:r>
      <w:r>
        <w:t>.</w:t>
      </w:r>
      <w:r w:rsidR="008E15C2">
        <w:t xml:space="preserve"> </w:t>
      </w:r>
      <w:r>
        <w:t>However,</w:t>
      </w:r>
      <w:r w:rsidR="008E15C2">
        <w:t xml:space="preserve"> </w:t>
      </w:r>
      <w:r>
        <w:t xml:space="preserve">IFS grantees’ </w:t>
      </w:r>
      <w:r w:rsidR="006B15D5" w:rsidRPr="00BE231B">
        <w:t xml:space="preserve">performance measures </w:t>
      </w:r>
      <w:r>
        <w:t xml:space="preserve">(see below) </w:t>
      </w:r>
      <w:r w:rsidR="006B15D5" w:rsidRPr="00BE231B">
        <w:t xml:space="preserve">will positively impact </w:t>
      </w:r>
      <w:r w:rsidR="008E15C2">
        <w:t>the health and well-being of the whole population</w:t>
      </w:r>
      <w:r w:rsidR="006B15D5" w:rsidRPr="00BE231B">
        <w:t xml:space="preserve">. </w:t>
      </w:r>
    </w:p>
    <w:p w14:paraId="24E8E345" w14:textId="77777777" w:rsidR="008E15C2" w:rsidRDefault="008E15C2" w:rsidP="008E15C2">
      <w:pPr>
        <w:pStyle w:val="ListParagraph"/>
        <w:spacing w:after="0"/>
      </w:pPr>
    </w:p>
    <w:tbl>
      <w:tblPr>
        <w:tblStyle w:val="TableGrid"/>
        <w:tblW w:w="14655" w:type="dxa"/>
        <w:tblInd w:w="-612" w:type="dxa"/>
        <w:tblLook w:val="04A0" w:firstRow="1" w:lastRow="0" w:firstColumn="1" w:lastColumn="0" w:noHBand="0" w:noVBand="1"/>
      </w:tblPr>
      <w:tblGrid>
        <w:gridCol w:w="1344"/>
        <w:gridCol w:w="1513"/>
        <w:gridCol w:w="2011"/>
        <w:gridCol w:w="3483"/>
        <w:gridCol w:w="2696"/>
        <w:gridCol w:w="678"/>
        <w:gridCol w:w="2922"/>
        <w:gridCol w:w="8"/>
      </w:tblGrid>
      <w:tr w:rsidR="006B15D5" w:rsidRPr="00ED63E2" w14:paraId="655D47E5" w14:textId="77777777" w:rsidTr="00EC1341">
        <w:tc>
          <w:tcPr>
            <w:tcW w:w="13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C4C262C" w14:textId="77777777" w:rsidR="006B15D5" w:rsidRPr="00ED63E2" w:rsidRDefault="006B15D5" w:rsidP="00816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 186 O</w:t>
            </w:r>
            <w:r w:rsidRPr="00ED63E2">
              <w:rPr>
                <w:b/>
                <w:sz w:val="20"/>
                <w:szCs w:val="20"/>
              </w:rPr>
              <w:t>utcomes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shd w:val="clear" w:color="auto" w:fill="FFFDAD"/>
          </w:tcPr>
          <w:p w14:paraId="10616896" w14:textId="77777777" w:rsidR="006B15D5" w:rsidRPr="00ED63E2" w:rsidRDefault="006B15D5" w:rsidP="00816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D63E2">
              <w:rPr>
                <w:sz w:val="20"/>
                <w:szCs w:val="20"/>
              </w:rPr>
              <w:t>Pregnant women and young children thrive/Children are ready for school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3F60D0D" w14:textId="77777777" w:rsidR="006B15D5" w:rsidRPr="00ED63E2" w:rsidRDefault="006B15D5" w:rsidP="00816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D63E2">
              <w:rPr>
                <w:sz w:val="20"/>
                <w:szCs w:val="20"/>
              </w:rPr>
              <w:t>Families are safe, stable, nurturing and supported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F7A3B1"/>
          </w:tcPr>
          <w:p w14:paraId="115F54F0" w14:textId="77777777" w:rsidR="006B15D5" w:rsidRPr="00ED63E2" w:rsidRDefault="006B15D5" w:rsidP="00816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D63E2">
              <w:rPr>
                <w:sz w:val="20"/>
                <w:szCs w:val="20"/>
              </w:rPr>
              <w:t>Youth choose healthy behaviors/Youth successfully transition to adulthood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CE7EA"/>
          </w:tcPr>
          <w:p w14:paraId="114A2AEC" w14:textId="77777777" w:rsidR="006B15D5" w:rsidRPr="00ED63E2" w:rsidRDefault="006B15D5" w:rsidP="008169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D63E2">
              <w:rPr>
                <w:sz w:val="20"/>
                <w:szCs w:val="20"/>
              </w:rPr>
              <w:t>Communities are safe and supportive</w:t>
            </w:r>
          </w:p>
        </w:tc>
      </w:tr>
      <w:tr w:rsidR="006B15D5" w:rsidRPr="0056464D" w14:paraId="28C3BD48" w14:textId="77777777" w:rsidTr="00EC1341">
        <w:trPr>
          <w:trHeight w:val="1808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9C03D1" w14:textId="77777777" w:rsidR="006B15D5" w:rsidRPr="00ED63E2" w:rsidRDefault="006B15D5" w:rsidP="00816919">
            <w:pPr>
              <w:jc w:val="center"/>
              <w:rPr>
                <w:b/>
                <w:sz w:val="20"/>
                <w:szCs w:val="20"/>
              </w:rPr>
            </w:pPr>
            <w:r w:rsidRPr="00ED63E2">
              <w:rPr>
                <w:b/>
                <w:sz w:val="20"/>
                <w:szCs w:val="20"/>
              </w:rPr>
              <w:t>Population Indicators</w:t>
            </w: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  <w:shd w:val="clear" w:color="auto" w:fill="FFFDAD"/>
          </w:tcPr>
          <w:p w14:paraId="6A4B4AC8" w14:textId="77777777" w:rsidR="006B15D5" w:rsidRPr="00A560F3" w:rsidRDefault="006B15D5" w:rsidP="006B15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560F3">
              <w:rPr>
                <w:rFonts w:ascii="Calibri" w:hAnsi="Calibri" w:cstheme="minorHAnsi"/>
                <w:color w:val="000000"/>
                <w:sz w:val="20"/>
                <w:szCs w:val="20"/>
              </w:rPr>
              <w:t>% of children who are ready for kindergarten in all five domains of healthy development</w:t>
            </w:r>
          </w:p>
          <w:p w14:paraId="6580BD09" w14:textId="77777777" w:rsidR="006B15D5" w:rsidRDefault="006B15D5" w:rsidP="00816919">
            <w:pPr>
              <w:pStyle w:val="ListParagraph"/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  <w:highlight w:val="cyan"/>
              </w:rPr>
            </w:pPr>
          </w:p>
          <w:p w14:paraId="16E0EF11" w14:textId="77777777" w:rsidR="006B15D5" w:rsidRDefault="006B15D5" w:rsidP="00816919">
            <w:pPr>
              <w:pStyle w:val="ListParagraph"/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  <w:highlight w:val="cyan"/>
              </w:rPr>
            </w:pPr>
          </w:p>
          <w:p w14:paraId="4E402F20" w14:textId="77777777" w:rsidR="006B15D5" w:rsidRPr="00FD1ABE" w:rsidRDefault="006B15D5" w:rsidP="00FD1A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F5CB133" w14:textId="77777777" w:rsidR="006B15D5" w:rsidRPr="0062598C" w:rsidRDefault="006B15D5" w:rsidP="006B15D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598C">
              <w:rPr>
                <w:sz w:val="20"/>
                <w:szCs w:val="20"/>
              </w:rPr>
              <w:t>Rate of child abuse and neglect</w:t>
            </w:r>
          </w:p>
          <w:p w14:paraId="7206AB72" w14:textId="77777777" w:rsidR="006B15D5" w:rsidRPr="0062598C" w:rsidRDefault="006B15D5" w:rsidP="006B15D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598C">
              <w:rPr>
                <w:sz w:val="20"/>
                <w:szCs w:val="20"/>
              </w:rPr>
              <w:t>Number of Vermont families with one or more children who are experiencing homelessness</w:t>
            </w:r>
          </w:p>
          <w:p w14:paraId="04EC1DEB" w14:textId="77777777" w:rsidR="006B15D5" w:rsidRPr="00570BA3" w:rsidRDefault="006B15D5" w:rsidP="0081691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F7A3B1"/>
          </w:tcPr>
          <w:p w14:paraId="71446A41" w14:textId="77777777" w:rsidR="006B15D5" w:rsidRPr="005101B5" w:rsidRDefault="006B15D5" w:rsidP="00FD1A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5101B5">
              <w:rPr>
                <w:sz w:val="20"/>
                <w:szCs w:val="20"/>
              </w:rPr>
              <w:t xml:space="preserve">% of </w:t>
            </w:r>
            <w:r>
              <w:rPr>
                <w:sz w:val="20"/>
                <w:szCs w:val="20"/>
              </w:rPr>
              <w:t>high school seniors</w:t>
            </w:r>
            <w:r w:rsidRPr="005101B5">
              <w:rPr>
                <w:sz w:val="20"/>
                <w:szCs w:val="20"/>
              </w:rPr>
              <w:t xml:space="preserve"> who have a plan following high school</w:t>
            </w:r>
          </w:p>
          <w:p w14:paraId="68AD2E0E" w14:textId="77777777" w:rsidR="006B15D5" w:rsidRPr="00B74AE2" w:rsidRDefault="006B15D5" w:rsidP="00FD1A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B74AE2">
              <w:rPr>
                <w:sz w:val="20"/>
                <w:szCs w:val="20"/>
              </w:rPr>
              <w:t>% of adolescents in grades 9-12 who drank alcohol before age 13</w:t>
            </w:r>
          </w:p>
          <w:p w14:paraId="56CCC566" w14:textId="77777777" w:rsidR="006B15D5" w:rsidRPr="003547D8" w:rsidRDefault="006B15D5" w:rsidP="00FD1A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307FA2">
              <w:rPr>
                <w:sz w:val="20"/>
                <w:szCs w:val="20"/>
              </w:rPr>
              <w:t xml:space="preserve">Number of youth </w:t>
            </w:r>
            <w:r>
              <w:rPr>
                <w:sz w:val="20"/>
                <w:szCs w:val="20"/>
              </w:rPr>
              <w:t xml:space="preserve">(12-21) </w:t>
            </w:r>
            <w:r w:rsidRPr="00307FA2">
              <w:rPr>
                <w:sz w:val="20"/>
                <w:szCs w:val="20"/>
              </w:rPr>
              <w:t>who have adolescent well-care visits with a PCP or Ob/Gyn</w:t>
            </w:r>
          </w:p>
        </w:tc>
        <w:tc>
          <w:tcPr>
            <w:tcW w:w="2930" w:type="dxa"/>
            <w:gridSpan w:val="2"/>
            <w:tcBorders>
              <w:bottom w:val="single" w:sz="4" w:space="0" w:color="auto"/>
            </w:tcBorders>
            <w:shd w:val="clear" w:color="auto" w:fill="ACE7EA"/>
          </w:tcPr>
          <w:p w14:paraId="08BDACA1" w14:textId="77777777" w:rsidR="006B15D5" w:rsidRDefault="006B15D5" w:rsidP="00FD1ABE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 w:rsidRPr="004C3BA5">
              <w:rPr>
                <w:sz w:val="20"/>
                <w:szCs w:val="20"/>
              </w:rPr>
              <w:t>Rate of children living below the 200% poverty rate</w:t>
            </w:r>
          </w:p>
          <w:p w14:paraId="6F945668" w14:textId="77777777" w:rsidR="006B15D5" w:rsidRPr="00516AA9" w:rsidRDefault="00AA41F7" w:rsidP="00FD1ABE">
            <w:pPr>
              <w:pStyle w:val="ListParagraph"/>
              <w:numPr>
                <w:ilvl w:val="0"/>
                <w:numId w:val="4"/>
              </w:numPr>
              <w:spacing w:after="0" w:line="252" w:lineRule="auto"/>
              <w:rPr>
                <w:b/>
                <w:sz w:val="20"/>
                <w:szCs w:val="20"/>
              </w:rPr>
            </w:pPr>
            <w:r w:rsidRPr="00AA41F7">
              <w:rPr>
                <w:sz w:val="20"/>
                <w:szCs w:val="20"/>
              </w:rPr>
              <w:t xml:space="preserve">% of infants and toddlers likely to need care who do not have access to </w:t>
            </w:r>
            <w:r w:rsidR="001A562A">
              <w:rPr>
                <w:sz w:val="20"/>
                <w:szCs w:val="20"/>
              </w:rPr>
              <w:t xml:space="preserve">a </w:t>
            </w:r>
            <w:r w:rsidRPr="00AA41F7">
              <w:rPr>
                <w:sz w:val="20"/>
                <w:szCs w:val="20"/>
              </w:rPr>
              <w:t>high quality, regulated child care program</w:t>
            </w:r>
          </w:p>
        </w:tc>
      </w:tr>
      <w:tr w:rsidR="002A0E4A" w14:paraId="40FE523C" w14:textId="77777777" w:rsidTr="00EC1341">
        <w:trPr>
          <w:trHeight w:val="278"/>
        </w:trPr>
        <w:tc>
          <w:tcPr>
            <w:tcW w:w="1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14367" w14:textId="29C4C445" w:rsidR="00FD1ABE" w:rsidRDefault="00FD1ABE" w:rsidP="00FD1ABE">
            <w:pPr>
              <w:spacing w:after="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7CAA42CF" w14:textId="77777777" w:rsidR="008E15C2" w:rsidRPr="00FD1ABE" w:rsidRDefault="008E15C2" w:rsidP="00FD1ABE">
            <w:pPr>
              <w:spacing w:after="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14:paraId="7AC3B4DC" w14:textId="1BAA348F" w:rsidR="004620F6" w:rsidRPr="00A65BDB" w:rsidRDefault="004620F6" w:rsidP="008B5D7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Georgia" w:hAnsi="Georgia"/>
                <w:b/>
                <w:sz w:val="32"/>
                <w:szCs w:val="32"/>
              </w:rPr>
            </w:pPr>
            <w:r w:rsidRPr="00A65BDB">
              <w:rPr>
                <w:rFonts w:ascii="Georgia" w:hAnsi="Georgia"/>
                <w:b/>
                <w:sz w:val="32"/>
                <w:szCs w:val="32"/>
              </w:rPr>
              <w:t>P</w:t>
            </w:r>
            <w:r w:rsidR="00172291" w:rsidRPr="00A65BDB">
              <w:rPr>
                <w:rFonts w:ascii="Georgia" w:hAnsi="Georgia"/>
                <w:b/>
                <w:sz w:val="32"/>
                <w:szCs w:val="32"/>
              </w:rPr>
              <w:t>erformance Measures for IFS Grantees</w:t>
            </w:r>
          </w:p>
        </w:tc>
      </w:tr>
      <w:tr w:rsidR="00645D68" w14:paraId="33716810" w14:textId="77777777" w:rsidTr="00EC1341">
        <w:trPr>
          <w:gridAfter w:val="1"/>
          <w:wAfter w:w="8" w:type="dxa"/>
          <w:trHeight w:val="350"/>
        </w:trPr>
        <w:tc>
          <w:tcPr>
            <w:tcW w:w="285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7A59A71" w14:textId="77777777" w:rsidR="00645D68" w:rsidRPr="00454B74" w:rsidRDefault="00645D68" w:rsidP="00FD1A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4B74">
              <w:rPr>
                <w:b/>
                <w:sz w:val="20"/>
                <w:szCs w:val="20"/>
              </w:rPr>
              <w:t>How Much?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722C84E" w14:textId="77777777" w:rsidR="002A0E4A" w:rsidRPr="00454B74" w:rsidRDefault="00645D68" w:rsidP="00FD1A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4B74">
              <w:rPr>
                <w:b/>
                <w:sz w:val="20"/>
                <w:szCs w:val="20"/>
              </w:rPr>
              <w:t>How Well?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C6B177F" w14:textId="77777777" w:rsidR="00645D68" w:rsidRPr="00454B74" w:rsidRDefault="00645D68" w:rsidP="00FD1A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54B74">
              <w:rPr>
                <w:b/>
                <w:sz w:val="20"/>
                <w:szCs w:val="20"/>
              </w:rPr>
              <w:t>Is Anyone Better Off?</w:t>
            </w:r>
          </w:p>
        </w:tc>
      </w:tr>
      <w:tr w:rsidR="00645D68" w:rsidRPr="00E2760B" w14:paraId="14B32257" w14:textId="77777777" w:rsidTr="00EC1341">
        <w:trPr>
          <w:gridAfter w:val="1"/>
          <w:wAfter w:w="8" w:type="dxa"/>
        </w:trPr>
        <w:tc>
          <w:tcPr>
            <w:tcW w:w="2857" w:type="dxa"/>
            <w:gridSpan w:val="2"/>
          </w:tcPr>
          <w:p w14:paraId="20B1EA48" w14:textId="77777777" w:rsidR="00645D68" w:rsidRPr="0052699D" w:rsidRDefault="00645D68" w:rsidP="00FD1ABE">
            <w:pPr>
              <w:pStyle w:val="ListParagraph"/>
              <w:numPr>
                <w:ilvl w:val="0"/>
                <w:numId w:val="8"/>
              </w:numPr>
              <w:ind w:left="225" w:hanging="225"/>
            </w:pPr>
            <w:r w:rsidRPr="0052699D">
              <w:t>Number of children served by fiscal quarter</w:t>
            </w:r>
          </w:p>
          <w:p w14:paraId="64759609" w14:textId="77777777" w:rsidR="00645D68" w:rsidRPr="0052699D" w:rsidRDefault="00645D68" w:rsidP="00FD1ABE">
            <w:pPr>
              <w:pStyle w:val="ListParagraph"/>
              <w:numPr>
                <w:ilvl w:val="0"/>
                <w:numId w:val="8"/>
              </w:numPr>
              <w:ind w:left="225" w:hanging="225"/>
            </w:pPr>
            <w:r w:rsidRPr="0052699D">
              <w:t xml:space="preserve">Number </w:t>
            </w:r>
            <w:r w:rsidR="0071245B">
              <w:t xml:space="preserve">of children </w:t>
            </w:r>
            <w:r w:rsidRPr="0052699D">
              <w:t>served by age</w:t>
            </w:r>
          </w:p>
          <w:p w14:paraId="0E09B4DC" w14:textId="77777777" w:rsidR="00645D68" w:rsidRPr="0052699D" w:rsidRDefault="00645D68" w:rsidP="00FD1ABE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b/>
              </w:rPr>
            </w:pPr>
            <w:r w:rsidRPr="0052699D">
              <w:t>Number of hours of service</w:t>
            </w:r>
          </w:p>
          <w:p w14:paraId="256C0A61" w14:textId="77777777" w:rsidR="00645D68" w:rsidRPr="0052699D" w:rsidRDefault="00645D68" w:rsidP="00FD1ABE">
            <w:pPr>
              <w:pStyle w:val="ListParagraph"/>
              <w:numPr>
                <w:ilvl w:val="0"/>
                <w:numId w:val="8"/>
              </w:numPr>
              <w:ind w:left="225" w:hanging="225"/>
              <w:rPr>
                <w:b/>
              </w:rPr>
            </w:pPr>
            <w:r w:rsidRPr="0052699D">
              <w:t>% of services provided to child</w:t>
            </w:r>
            <w:r w:rsidR="000466C0">
              <w:t>/youth</w:t>
            </w:r>
            <w:r w:rsidRPr="0052699D">
              <w:t xml:space="preserve"> with Medicaid</w:t>
            </w:r>
          </w:p>
        </w:tc>
        <w:tc>
          <w:tcPr>
            <w:tcW w:w="8190" w:type="dxa"/>
            <w:gridSpan w:val="3"/>
          </w:tcPr>
          <w:p w14:paraId="3CD6F664" w14:textId="77777777" w:rsidR="00645D68" w:rsidRPr="0052699D" w:rsidRDefault="00645D68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2699D">
              <w:t xml:space="preserve">% of </w:t>
            </w:r>
            <w:r w:rsidR="007869B2">
              <w:t>children</w:t>
            </w:r>
            <w:r w:rsidRPr="0052699D">
              <w:t xml:space="preserve"> with a plan developed collaboratively with families</w:t>
            </w:r>
          </w:p>
          <w:p w14:paraId="1DB73B4A" w14:textId="77777777" w:rsidR="00645D68" w:rsidRPr="0052699D" w:rsidRDefault="00645D68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2699D">
              <w:t>Satisfaction measure from family perspective</w:t>
            </w:r>
          </w:p>
          <w:p w14:paraId="196A3B02" w14:textId="77777777" w:rsidR="00645D68" w:rsidRPr="0052699D" w:rsidRDefault="00645D68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2699D">
              <w:t xml:space="preserve">% of </w:t>
            </w:r>
            <w:r w:rsidR="007869B2">
              <w:t>children</w:t>
            </w:r>
            <w:r w:rsidRPr="0052699D">
              <w:t xml:space="preserve"> with a plan completed within 90 days of referral </w:t>
            </w:r>
          </w:p>
          <w:p w14:paraId="1B668D40" w14:textId="77777777" w:rsidR="00645D68" w:rsidRPr="0052699D" w:rsidRDefault="00645D68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2699D">
              <w:t xml:space="preserve">% of </w:t>
            </w:r>
            <w:r w:rsidR="007869B2">
              <w:t>children</w:t>
            </w:r>
            <w:r w:rsidRPr="0052699D">
              <w:t xml:space="preserve"> (Prenatal to 6) that received initial contact within 5 calendar days</w:t>
            </w:r>
          </w:p>
          <w:p w14:paraId="48459BB4" w14:textId="77777777" w:rsidR="00645D68" w:rsidRPr="0052699D" w:rsidRDefault="00645D68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2699D">
              <w:t>% of c</w:t>
            </w:r>
            <w:r w:rsidR="007869B2">
              <w:t>hildren</w:t>
            </w:r>
            <w:r w:rsidRPr="0052699D">
              <w:t xml:space="preserve"> (Prenatal to 6) that had a transition plan (30 or 90 days before transition) upon discharge</w:t>
            </w:r>
          </w:p>
          <w:p w14:paraId="31731EDC" w14:textId="77777777" w:rsidR="00645D68" w:rsidRPr="0052699D" w:rsidRDefault="00645D68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u w:val="single"/>
              </w:rPr>
            </w:pPr>
            <w:r w:rsidRPr="0052699D">
              <w:t xml:space="preserve">% of </w:t>
            </w:r>
            <w:r w:rsidR="007869B2">
              <w:t>children/youth</w:t>
            </w:r>
            <w:r w:rsidRPr="0052699D">
              <w:t xml:space="preserve"> receiving non-emergency service within 7 days of emergency service </w:t>
            </w:r>
          </w:p>
          <w:p w14:paraId="2B3C3773" w14:textId="77777777" w:rsidR="00645D68" w:rsidRPr="00B72D56" w:rsidRDefault="00FA75A1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52699D">
              <w:rPr>
                <w:rFonts w:eastAsia="Times New Roman" w:cs="Times New Roman"/>
                <w:iCs/>
              </w:rPr>
              <w:t>% of children</w:t>
            </w:r>
            <w:r w:rsidR="007869B2">
              <w:rPr>
                <w:rFonts w:eastAsia="Times New Roman" w:cs="Times New Roman"/>
                <w:iCs/>
              </w:rPr>
              <w:t>/youth</w:t>
            </w:r>
            <w:r w:rsidRPr="0052699D">
              <w:rPr>
                <w:rFonts w:eastAsia="Times New Roman" w:cs="Times New Roman"/>
                <w:iCs/>
              </w:rPr>
              <w:t xml:space="preserve"> living </w:t>
            </w:r>
            <w:bookmarkStart w:id="0" w:name="_GoBack"/>
            <w:r w:rsidRPr="00B72D56">
              <w:rPr>
                <w:rFonts w:eastAsia="Times New Roman" w:cs="Times New Roman"/>
                <w:iCs/>
                <w:strike/>
                <w:color w:val="FF0000"/>
              </w:rPr>
              <w:t>at home or close to home</w:t>
            </w:r>
            <w:r w:rsidRPr="00B72D56">
              <w:rPr>
                <w:rFonts w:eastAsia="Times New Roman" w:cs="Times New Roman"/>
                <w:iCs/>
                <w:color w:val="FF0000"/>
              </w:rPr>
              <w:t xml:space="preserve"> </w:t>
            </w:r>
            <w:bookmarkEnd w:id="0"/>
            <w:r w:rsidRPr="0052699D">
              <w:rPr>
                <w:rFonts w:eastAsia="Times New Roman" w:cs="Times New Roman"/>
                <w:iCs/>
              </w:rPr>
              <w:t>in a family-like setting</w:t>
            </w:r>
            <w:r w:rsidR="00B72D56">
              <w:rPr>
                <w:rFonts w:eastAsia="Times New Roman" w:cs="Times New Roman"/>
                <w:iCs/>
              </w:rPr>
              <w:t xml:space="preserve"> (MSR report provided by the state to the provider)</w:t>
            </w:r>
          </w:p>
          <w:p w14:paraId="2873A8ED" w14:textId="10E47535" w:rsidR="00B72D56" w:rsidRPr="0052699D" w:rsidRDefault="00B72D56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B72D56">
              <w:rPr>
                <w:rFonts w:eastAsia="Times New Roman" w:cs="Times New Roman"/>
                <w:iCs/>
                <w:color w:val="FF0000"/>
              </w:rPr>
              <w:t># of bed days for children/youth in residential placements (state generated data for all children in catchment area)</w:t>
            </w:r>
          </w:p>
        </w:tc>
        <w:tc>
          <w:tcPr>
            <w:tcW w:w="3600" w:type="dxa"/>
            <w:gridSpan w:val="2"/>
          </w:tcPr>
          <w:p w14:paraId="78245F1D" w14:textId="77777777" w:rsidR="00645D68" w:rsidRPr="0052699D" w:rsidRDefault="00645D68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2699D">
              <w:t xml:space="preserve">% of </w:t>
            </w:r>
            <w:r w:rsidR="00993791">
              <w:t>children/youth</w:t>
            </w:r>
            <w:r w:rsidRPr="0052699D">
              <w:t xml:space="preserve"> that have shown improvement on the CANS or an approved assessment tool</w:t>
            </w:r>
          </w:p>
          <w:p w14:paraId="2661E5A1" w14:textId="77777777" w:rsidR="00645D68" w:rsidRPr="000466C0" w:rsidRDefault="00993791" w:rsidP="0071245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0466C0">
              <w:t>% of children whose CANS score shows improvement in the family domain</w:t>
            </w:r>
            <w:r w:rsidRPr="000466C0">
              <w:rPr>
                <w:i/>
              </w:rPr>
              <w:t xml:space="preserve"> </w:t>
            </w:r>
            <w:r w:rsidR="0071245B" w:rsidRPr="000466C0">
              <w:rPr>
                <w:i/>
              </w:rPr>
              <w:t>OR</w:t>
            </w:r>
            <w:r w:rsidR="00645D68" w:rsidRPr="000466C0">
              <w:t xml:space="preserve"> </w:t>
            </w:r>
            <w:r w:rsidR="0071245B" w:rsidRPr="000466C0">
              <w:t xml:space="preserve">% of families who show improvement on an </w:t>
            </w:r>
            <w:r w:rsidR="00645D68" w:rsidRPr="000466C0">
              <w:t>approved assessment tool</w:t>
            </w:r>
            <w:r w:rsidR="00645D68" w:rsidRPr="000466C0">
              <w:rPr>
                <w:i/>
              </w:rPr>
              <w:t xml:space="preserve"> </w:t>
            </w:r>
          </w:p>
        </w:tc>
      </w:tr>
      <w:tr w:rsidR="00645D68" w:rsidRPr="00E2760B" w14:paraId="2428F2F3" w14:textId="77777777" w:rsidTr="00EC1341">
        <w:tc>
          <w:tcPr>
            <w:tcW w:w="14655" w:type="dxa"/>
            <w:gridSpan w:val="8"/>
          </w:tcPr>
          <w:p w14:paraId="373916B5" w14:textId="77777777" w:rsidR="00645D68" w:rsidRPr="0052699D" w:rsidRDefault="00645D68" w:rsidP="00645D6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2699D">
              <w:rPr>
                <w:color w:val="000000"/>
              </w:rPr>
              <w:lastRenderedPageBreak/>
              <w:t>Report any novel, innovative and successful initiatives taken in any arena (such as: quality, teaming, services, system, fiscal, or data sharing) in your region.</w:t>
            </w:r>
          </w:p>
        </w:tc>
      </w:tr>
    </w:tbl>
    <w:p w14:paraId="51FD1BE8" w14:textId="77777777" w:rsidR="00C16C24" w:rsidRDefault="00C16C24"/>
    <w:sectPr w:rsidR="00C16C24" w:rsidSect="008E15C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ED9F" w14:textId="77777777" w:rsidR="0045330C" w:rsidRDefault="0045330C" w:rsidP="00F04F32">
      <w:pPr>
        <w:spacing w:after="0" w:line="240" w:lineRule="auto"/>
      </w:pPr>
      <w:r>
        <w:separator/>
      </w:r>
    </w:p>
  </w:endnote>
  <w:endnote w:type="continuationSeparator" w:id="0">
    <w:p w14:paraId="23D6CC95" w14:textId="77777777" w:rsidR="0045330C" w:rsidRDefault="0045330C" w:rsidP="00F0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6408F" w14:textId="77777777" w:rsidR="0045330C" w:rsidRDefault="0045330C" w:rsidP="00F04F32">
      <w:pPr>
        <w:spacing w:after="0" w:line="240" w:lineRule="auto"/>
      </w:pPr>
      <w:r>
        <w:separator/>
      </w:r>
    </w:p>
  </w:footnote>
  <w:footnote w:type="continuationSeparator" w:id="0">
    <w:p w14:paraId="6FC2E3CE" w14:textId="77777777" w:rsidR="0045330C" w:rsidRDefault="0045330C" w:rsidP="00F04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B93"/>
    <w:multiLevelType w:val="hybridMultilevel"/>
    <w:tmpl w:val="840086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44E7"/>
    <w:multiLevelType w:val="hybridMultilevel"/>
    <w:tmpl w:val="E8E681B2"/>
    <w:lvl w:ilvl="0" w:tplc="F49E11D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35329"/>
    <w:multiLevelType w:val="hybridMultilevel"/>
    <w:tmpl w:val="2EF24408"/>
    <w:lvl w:ilvl="0" w:tplc="1A883A3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12A45"/>
    <w:multiLevelType w:val="hybridMultilevel"/>
    <w:tmpl w:val="69E2807C"/>
    <w:lvl w:ilvl="0" w:tplc="9626B7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74727"/>
    <w:multiLevelType w:val="hybridMultilevel"/>
    <w:tmpl w:val="E0549CC4"/>
    <w:lvl w:ilvl="0" w:tplc="75ACE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61E1"/>
    <w:multiLevelType w:val="hybridMultilevel"/>
    <w:tmpl w:val="14963A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C05884"/>
    <w:multiLevelType w:val="hybridMultilevel"/>
    <w:tmpl w:val="9EF0E142"/>
    <w:lvl w:ilvl="0" w:tplc="64269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86EE0"/>
    <w:multiLevelType w:val="hybridMultilevel"/>
    <w:tmpl w:val="B304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E510F"/>
    <w:multiLevelType w:val="hybridMultilevel"/>
    <w:tmpl w:val="85EC2B9E"/>
    <w:lvl w:ilvl="0" w:tplc="5FDA9D0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D5"/>
    <w:rsid w:val="000466C0"/>
    <w:rsid w:val="00051953"/>
    <w:rsid w:val="0005401A"/>
    <w:rsid w:val="0011762F"/>
    <w:rsid w:val="00172291"/>
    <w:rsid w:val="001A562A"/>
    <w:rsid w:val="002A0E4A"/>
    <w:rsid w:val="002D71F6"/>
    <w:rsid w:val="0032500F"/>
    <w:rsid w:val="0036740A"/>
    <w:rsid w:val="0045330C"/>
    <w:rsid w:val="00454B74"/>
    <w:rsid w:val="004620F6"/>
    <w:rsid w:val="004B439B"/>
    <w:rsid w:val="0052699D"/>
    <w:rsid w:val="00645D68"/>
    <w:rsid w:val="006B15D5"/>
    <w:rsid w:val="006D487F"/>
    <w:rsid w:val="0071245B"/>
    <w:rsid w:val="007869B2"/>
    <w:rsid w:val="008B5D7D"/>
    <w:rsid w:val="008E15C2"/>
    <w:rsid w:val="00910CCC"/>
    <w:rsid w:val="00980FB8"/>
    <w:rsid w:val="00993791"/>
    <w:rsid w:val="009C39F0"/>
    <w:rsid w:val="009D62A2"/>
    <w:rsid w:val="00A65BDB"/>
    <w:rsid w:val="00AA41F7"/>
    <w:rsid w:val="00AF0F71"/>
    <w:rsid w:val="00B72D56"/>
    <w:rsid w:val="00C16C24"/>
    <w:rsid w:val="00EC1341"/>
    <w:rsid w:val="00F04F32"/>
    <w:rsid w:val="00F164C9"/>
    <w:rsid w:val="00F701D2"/>
    <w:rsid w:val="00FA75A1"/>
    <w:rsid w:val="00FD0136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E277"/>
  <w15:chartTrackingRefBased/>
  <w15:docId w15:val="{505F812E-C6EA-4107-9137-281B982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5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5D5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32"/>
  </w:style>
  <w:style w:type="paragraph" w:styleId="Footer">
    <w:name w:val="footer"/>
    <w:basedOn w:val="Normal"/>
    <w:link w:val="FooterChar"/>
    <w:uiPriority w:val="99"/>
    <w:unhideWhenUsed/>
    <w:rsid w:val="00F0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32"/>
  </w:style>
  <w:style w:type="character" w:styleId="CommentReference">
    <w:name w:val="annotation reference"/>
    <w:basedOn w:val="DefaultParagraphFont"/>
    <w:uiPriority w:val="99"/>
    <w:semiHidden/>
    <w:unhideWhenUsed/>
    <w:rsid w:val="008B5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9ADE-66E1-483B-8448-F5677936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2</cp:revision>
  <dcterms:created xsi:type="dcterms:W3CDTF">2017-08-15T16:55:00Z</dcterms:created>
  <dcterms:modified xsi:type="dcterms:W3CDTF">2017-08-15T16:55:00Z</dcterms:modified>
</cp:coreProperties>
</file>